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10114">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河北省医疗器械分类界定工作程序（试行）</w:t>
      </w:r>
    </w:p>
    <w:p w14:paraId="5F71B9B9">
      <w:pPr>
        <w:spacing w:line="560" w:lineRule="exact"/>
        <w:rPr>
          <w:rFonts w:hint="eastAsia"/>
        </w:rPr>
      </w:pPr>
    </w:p>
    <w:p w14:paraId="195420B4">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14:paraId="4A1CF31B">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第一条</w:t>
      </w:r>
      <w:r>
        <w:rPr>
          <w:rFonts w:hint="eastAsia" w:ascii="仿宋_GB2312" w:hAnsi="仿宋_GB2312" w:eastAsia="仿宋_GB2312" w:cs="仿宋_GB2312"/>
          <w:sz w:val="32"/>
          <w:szCs w:val="32"/>
        </w:rPr>
        <w:t xml:space="preserve"> 为贯彻落实《关于支持创新药械高质量发展若干措施》，规范医疗器械分类界定工作，明确职责分工，优化工作流程，破解当前我省医疗器械生产企业分类界定方面的困难和问题，促进医疗器械研发创新，</w:t>
      </w:r>
      <w:r>
        <w:rPr>
          <w:rFonts w:hint="eastAsia" w:eastAsia="仿宋_GB2312"/>
          <w:spacing w:val="-2"/>
          <w:sz w:val="32"/>
          <w:szCs w:val="32"/>
        </w:rPr>
        <w:t>积极助推我省医疗器械产业高质量发展，</w:t>
      </w:r>
      <w:r>
        <w:rPr>
          <w:rFonts w:hint="eastAsia" w:ascii="仿宋_GB2312" w:hAnsi="仿宋_GB2312" w:eastAsia="仿宋_GB2312" w:cs="仿宋_GB2312"/>
          <w:sz w:val="32"/>
          <w:szCs w:val="32"/>
        </w:rPr>
        <w:t>依据《医疗器械监督管理条例》《医疗器械注册与备案管理办法》《体外诊断试剂注册与备案管理办法》《关于规范医疗器械产品分类界定工作的公告》（2024年第59号）等规定，结合我省实际，制定本程序。</w:t>
      </w:r>
    </w:p>
    <w:p w14:paraId="50C30E53">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第二条</w:t>
      </w:r>
      <w:r>
        <w:rPr>
          <w:rFonts w:hint="eastAsia" w:ascii="仿宋_GB2312" w:hAnsi="仿宋_GB2312" w:eastAsia="仿宋_GB2312" w:cs="仿宋_GB2312"/>
          <w:sz w:val="32"/>
          <w:szCs w:val="32"/>
        </w:rPr>
        <w:t xml:space="preserve"> 本程序适用于河北省内管理类别存疑医疗器械分类界定申请事项的办理，以及审评审批过程中发现的类别存疑的产品分类界定事项办理，旨在提高医疗器械审评审批工作质量和效率，服务医疗器械产业创新发展。</w:t>
      </w:r>
    </w:p>
    <w:p w14:paraId="4462BF62">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第二章 职责分工</w:t>
      </w:r>
    </w:p>
    <w:p w14:paraId="16F44C7C">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第三条</w:t>
      </w:r>
      <w:r>
        <w:rPr>
          <w:rFonts w:hint="eastAsia" w:ascii="仿宋_GB2312" w:hAnsi="仿宋_GB2312" w:eastAsia="仿宋_GB2312" w:cs="仿宋_GB2312"/>
          <w:sz w:val="32"/>
          <w:szCs w:val="32"/>
        </w:rPr>
        <w:t xml:space="preserve"> 河北省药品监督管理局医疗器械注册管理处（以下简称“器械注册处”）负责分类界定工作的统筹协调、结果上报。</w:t>
      </w:r>
    </w:p>
    <w:p w14:paraId="118FB7B5">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第四条</w:t>
      </w:r>
      <w:r>
        <w:rPr>
          <w:rFonts w:hint="eastAsia" w:ascii="仿宋_GB2312" w:hAnsi="仿宋_GB2312" w:eastAsia="仿宋_GB2312" w:cs="仿宋_GB2312"/>
          <w:sz w:val="32"/>
          <w:szCs w:val="32"/>
        </w:rPr>
        <w:t xml:space="preserve"> 河北省医疗器械技术审评中心（以下简称“器审中心”）负责分类界定的技术研判工作，包括申请材料的技术审核、补充资料审核、初步分类意见的提出等。</w:t>
      </w:r>
    </w:p>
    <w:p w14:paraId="5F2BF133">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第三章 工作流程</w:t>
      </w:r>
    </w:p>
    <w:p w14:paraId="16E8239B">
      <w:pPr>
        <w:overflowPunct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第五条</w:t>
      </w:r>
      <w:r>
        <w:rPr>
          <w:rFonts w:hint="eastAsia" w:ascii="仿宋_GB2312" w:hAnsi="仿宋_GB2312" w:eastAsia="仿宋_GB2312" w:cs="仿宋_GB2312"/>
          <w:sz w:val="32"/>
          <w:szCs w:val="32"/>
        </w:rPr>
        <w:t xml:space="preserve"> 提交申请</w:t>
      </w:r>
    </w:p>
    <w:p w14:paraId="10EA173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登录“中国食品药品检定研究院（国家药品监督管理局医疗器械标准管理中心）”网站（https://www.nifdc.org.cn），依次进入“业务大厅”--“医疗器械标准与分类管理”--“医疗器械分类界定信息系统”页面，在线提交申请资料。</w:t>
      </w:r>
    </w:p>
    <w:p w14:paraId="118AF5D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首次登录系统申请分类界定时，须按照系统提示进行注册，按照要求在线填写相关资料并上传文件。</w:t>
      </w:r>
    </w:p>
    <w:p w14:paraId="65AEC7D8">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第六条</w:t>
      </w:r>
      <w:r>
        <w:rPr>
          <w:rFonts w:hint="eastAsia" w:ascii="仿宋_GB2312" w:hAnsi="仿宋_GB2312" w:eastAsia="仿宋_GB2312" w:cs="仿宋_GB2312"/>
          <w:sz w:val="32"/>
          <w:szCs w:val="32"/>
        </w:rPr>
        <w:t xml:space="preserve"> 技术研判</w:t>
      </w:r>
    </w:p>
    <w:p w14:paraId="5F9D0FD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器审中心收到行政区域内申请人提交的产品分类界定申请资料后，开展以下工作：</w:t>
      </w:r>
    </w:p>
    <w:p w14:paraId="4BCC641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（一）初步研究：根据申请资料，对照《医疗器械监督管理条例》《医疗器械分类规则》、相关分类界定指导原则及《医疗器械分类目录》等文件，对产品的管理属性及管理类别进行初步研究。</w:t>
      </w:r>
    </w:p>
    <w:p w14:paraId="2C3EC52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正资料：经初步研究认为需要补正资料的，器审中心通过分类界定信息系统发布补正资料通知单，提出补正要求，并一次性告知需要补正的全部内容。申请人应当在分类界定补正通知发出之日起30个工作日内，按照补正通知的要求一次性提供补充资料。逾期未提交补充资料或者补充资料不符合要求的，在分类界定信息系统内退回分类界定申请。申请人完善相关申请资料后可重新申请。</w:t>
      </w:r>
    </w:p>
    <w:p w14:paraId="4AB64D1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（三）提交初审意见：经初步研究能够明确判定产品管理类别的，填写《医疗器械分类界定初审意见表》，拟定初步分类意见，并将初审意见通过OA系统提交至器械注册处。</w:t>
      </w:r>
    </w:p>
    <w:p w14:paraId="11550C55">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第七条</w:t>
      </w:r>
      <w:r>
        <w:rPr>
          <w:rFonts w:hint="eastAsia" w:ascii="仿宋_GB2312" w:hAnsi="仿宋_GB2312" w:eastAsia="仿宋_GB2312" w:cs="仿宋_GB2312"/>
          <w:sz w:val="32"/>
          <w:szCs w:val="32"/>
        </w:rPr>
        <w:t xml:space="preserve"> 告知/上报</w:t>
      </w:r>
    </w:p>
    <w:p w14:paraId="3FA1F3BD">
      <w:pPr>
        <w:spacing w:line="540" w:lineRule="exact"/>
        <w:ind w:firstLine="640" w:firstLineChars="200"/>
        <w:rPr>
          <w:rFonts w:eastAsia="仿宋_GB2312"/>
          <w:kern w:val="0"/>
          <w:sz w:val="32"/>
          <w:szCs w:val="32"/>
        </w:rPr>
      </w:pPr>
      <w:r>
        <w:rPr>
          <w:rFonts w:hint="eastAsia" w:eastAsia="仿宋_GB2312"/>
          <w:kern w:val="0"/>
          <w:sz w:val="32"/>
          <w:szCs w:val="32"/>
        </w:rPr>
        <w:t>器械注册处</w:t>
      </w:r>
      <w:r>
        <w:rPr>
          <w:rFonts w:hint="eastAsia" w:ascii="仿宋_GB2312" w:hAnsi="仿宋_GB2312" w:eastAsia="仿宋_GB2312" w:cs="仿宋_GB2312"/>
          <w:sz w:val="32"/>
          <w:szCs w:val="32"/>
        </w:rPr>
        <w:t>收到器审中心提交的初审意见后开展以下工作：</w:t>
      </w:r>
    </w:p>
    <w:p w14:paraId="7788AB8D">
      <w:pPr>
        <w:spacing w:line="540" w:lineRule="exact"/>
        <w:ind w:firstLine="640" w:firstLineChars="200"/>
        <w:rPr>
          <w:rFonts w:eastAsia="仿宋_GB2312"/>
          <w:kern w:val="0"/>
          <w:sz w:val="32"/>
          <w:szCs w:val="32"/>
        </w:rPr>
      </w:pPr>
      <w:r>
        <w:rPr>
          <w:rFonts w:eastAsia="仿宋_GB2312"/>
          <w:kern w:val="0"/>
          <w:sz w:val="32"/>
          <w:szCs w:val="32"/>
        </w:rPr>
        <w:t>（一）综合研判：根据</w:t>
      </w:r>
      <w:r>
        <w:rPr>
          <w:rFonts w:hint="eastAsia" w:eastAsia="仿宋_GB2312"/>
          <w:kern w:val="0"/>
          <w:sz w:val="32"/>
          <w:szCs w:val="32"/>
        </w:rPr>
        <w:t>器审中心意见及</w:t>
      </w:r>
      <w:r>
        <w:rPr>
          <w:rFonts w:eastAsia="仿宋_GB2312"/>
          <w:kern w:val="0"/>
          <w:sz w:val="32"/>
          <w:szCs w:val="32"/>
        </w:rPr>
        <w:t>申请资料，对照《</w:t>
      </w:r>
      <w:r>
        <w:rPr>
          <w:rFonts w:hint="eastAsia" w:eastAsia="仿宋_GB2312"/>
          <w:kern w:val="0"/>
          <w:sz w:val="32"/>
          <w:szCs w:val="32"/>
        </w:rPr>
        <w:t>医疗器械监督管理</w:t>
      </w:r>
      <w:r>
        <w:rPr>
          <w:rFonts w:eastAsia="仿宋_GB2312"/>
          <w:kern w:val="0"/>
          <w:sz w:val="32"/>
          <w:szCs w:val="32"/>
        </w:rPr>
        <w:t>条例》《</w:t>
      </w:r>
      <w:r>
        <w:rPr>
          <w:rFonts w:hint="eastAsia" w:eastAsia="仿宋_GB2312"/>
          <w:kern w:val="0"/>
          <w:sz w:val="32"/>
          <w:szCs w:val="32"/>
        </w:rPr>
        <w:t>医疗器械</w:t>
      </w:r>
      <w:r>
        <w:rPr>
          <w:rFonts w:eastAsia="仿宋_GB2312"/>
          <w:kern w:val="0"/>
          <w:sz w:val="32"/>
          <w:szCs w:val="32"/>
        </w:rPr>
        <w:t>分类规则》、相关分类界定指导原则及《</w:t>
      </w:r>
      <w:r>
        <w:rPr>
          <w:rFonts w:hint="eastAsia" w:eastAsia="仿宋_GB2312"/>
          <w:kern w:val="0"/>
          <w:sz w:val="32"/>
          <w:szCs w:val="32"/>
        </w:rPr>
        <w:t>医疗器械</w:t>
      </w:r>
      <w:r>
        <w:rPr>
          <w:rFonts w:eastAsia="仿宋_GB2312"/>
          <w:kern w:val="0"/>
          <w:sz w:val="32"/>
          <w:szCs w:val="32"/>
        </w:rPr>
        <w:t>分类目录》等文件，综合研究判定产品的管理属性及管理类别。</w:t>
      </w:r>
    </w:p>
    <w:p w14:paraId="13F144A2">
      <w:pPr>
        <w:spacing w:line="540" w:lineRule="exact"/>
        <w:ind w:firstLine="640" w:firstLineChars="200"/>
        <w:rPr>
          <w:rFonts w:eastAsia="仿宋_GB2312"/>
          <w:kern w:val="0"/>
          <w:sz w:val="32"/>
          <w:szCs w:val="32"/>
        </w:rPr>
      </w:pPr>
      <w:r>
        <w:rPr>
          <w:rFonts w:hint="eastAsia" w:ascii="仿宋_GB2312" w:hAnsi="仿宋_GB2312" w:eastAsia="仿宋_GB2312" w:cs="仿宋_GB2312"/>
          <w:sz w:val="32"/>
          <w:szCs w:val="32"/>
        </w:rPr>
        <w:t>（二）告知：</w:t>
      </w:r>
      <w:r>
        <w:rPr>
          <w:rFonts w:eastAsia="仿宋_GB2312"/>
          <w:sz w:val="32"/>
          <w:szCs w:val="32"/>
        </w:rPr>
        <w:t>对经研究能够明确判定产品管理类别的，</w:t>
      </w:r>
      <w:r>
        <w:rPr>
          <w:rFonts w:eastAsia="仿宋_GB2312"/>
          <w:kern w:val="0"/>
          <w:sz w:val="32"/>
          <w:szCs w:val="32"/>
        </w:rPr>
        <w:t>直接在分类界定信息系统</w:t>
      </w:r>
      <w:r>
        <w:rPr>
          <w:rFonts w:hint="eastAsia" w:eastAsia="仿宋_GB2312"/>
          <w:kern w:val="0"/>
          <w:sz w:val="32"/>
          <w:szCs w:val="32"/>
        </w:rPr>
        <w:t>中</w:t>
      </w:r>
      <w:r>
        <w:rPr>
          <w:rFonts w:eastAsia="仿宋_GB2312"/>
          <w:kern w:val="0"/>
          <w:sz w:val="32"/>
          <w:szCs w:val="32"/>
        </w:rPr>
        <w:t>告知申请人分类界定结果。</w:t>
      </w:r>
    </w:p>
    <w:p w14:paraId="3F444C40">
      <w:pPr>
        <w:spacing w:line="540" w:lineRule="exact"/>
        <w:ind w:firstLine="640" w:firstLineChars="200"/>
        <w:rPr>
          <w:rFonts w:eastAsia="仿宋_GB2312"/>
          <w:kern w:val="0"/>
          <w:sz w:val="32"/>
          <w:szCs w:val="32"/>
        </w:rPr>
      </w:pPr>
      <w:r>
        <w:rPr>
          <w:rFonts w:eastAsia="仿宋_GB2312"/>
          <w:sz w:val="32"/>
          <w:szCs w:val="32"/>
        </w:rPr>
        <w:t>其中，对于经研究认为</w:t>
      </w:r>
      <w:r>
        <w:rPr>
          <w:rFonts w:eastAsia="仿宋_GB2312"/>
          <w:kern w:val="0"/>
          <w:sz w:val="32"/>
          <w:szCs w:val="32"/>
        </w:rPr>
        <w:t>属于《</w:t>
      </w:r>
      <w:r>
        <w:rPr>
          <w:rFonts w:hint="eastAsia" w:eastAsia="仿宋_GB2312"/>
          <w:kern w:val="0"/>
          <w:sz w:val="32"/>
          <w:szCs w:val="32"/>
        </w:rPr>
        <w:t>医疗器械</w:t>
      </w:r>
      <w:r>
        <w:rPr>
          <w:rFonts w:eastAsia="仿宋_GB2312"/>
          <w:kern w:val="0"/>
          <w:sz w:val="32"/>
          <w:szCs w:val="32"/>
        </w:rPr>
        <w:t>分类目录》中的医疗器械的，</w:t>
      </w:r>
      <w:r>
        <w:rPr>
          <w:rFonts w:eastAsia="仿宋_GB2312"/>
          <w:sz w:val="32"/>
          <w:szCs w:val="32"/>
        </w:rPr>
        <w:t>告知申请人参照《</w:t>
      </w:r>
      <w:r>
        <w:rPr>
          <w:rFonts w:hint="eastAsia" w:eastAsia="仿宋_GB2312"/>
          <w:sz w:val="32"/>
          <w:szCs w:val="32"/>
        </w:rPr>
        <w:t>医疗器械</w:t>
      </w:r>
      <w:r>
        <w:rPr>
          <w:rFonts w:eastAsia="仿宋_GB2312"/>
          <w:sz w:val="32"/>
          <w:szCs w:val="32"/>
        </w:rPr>
        <w:t>分类目录》中的具体二级类别进行注册申报或者办理备案。</w:t>
      </w:r>
    </w:p>
    <w:p w14:paraId="41F0BADA">
      <w:pPr>
        <w:spacing w:line="540" w:lineRule="exact"/>
        <w:ind w:firstLine="640" w:firstLineChars="200"/>
        <w:rPr>
          <w:rFonts w:hint="eastAsia" w:eastAsia="仿宋_GB2312"/>
          <w:kern w:val="0"/>
          <w:sz w:val="32"/>
          <w:szCs w:val="32"/>
        </w:rPr>
      </w:pPr>
      <w:r>
        <w:rPr>
          <w:rFonts w:hint="eastAsia" w:eastAsia="仿宋_GB2312"/>
          <w:kern w:val="0"/>
          <w:sz w:val="32"/>
          <w:szCs w:val="32"/>
        </w:rPr>
        <w:t>（三）</w:t>
      </w:r>
      <w:r>
        <w:rPr>
          <w:rFonts w:eastAsia="仿宋_GB2312"/>
          <w:sz w:val="32"/>
          <w:szCs w:val="32"/>
        </w:rPr>
        <w:t>上报：对经研究不能明确判定产品管理类别的，应当依据《</w:t>
      </w:r>
      <w:r>
        <w:rPr>
          <w:rFonts w:hint="eastAsia" w:eastAsia="仿宋_GB2312"/>
          <w:sz w:val="32"/>
          <w:szCs w:val="32"/>
        </w:rPr>
        <w:t>医疗器械监督管理</w:t>
      </w:r>
      <w:r>
        <w:rPr>
          <w:rFonts w:eastAsia="仿宋_GB2312"/>
          <w:sz w:val="32"/>
          <w:szCs w:val="32"/>
        </w:rPr>
        <w:t>条例》《</w:t>
      </w:r>
      <w:r>
        <w:rPr>
          <w:rFonts w:hint="eastAsia" w:eastAsia="仿宋_GB2312"/>
          <w:sz w:val="32"/>
          <w:szCs w:val="32"/>
        </w:rPr>
        <w:t>医疗器械</w:t>
      </w:r>
      <w:r>
        <w:rPr>
          <w:rFonts w:eastAsia="仿宋_GB2312"/>
          <w:sz w:val="32"/>
          <w:szCs w:val="32"/>
        </w:rPr>
        <w:t>分类规则》、相关分类界定指导原则及《</w:t>
      </w:r>
      <w:r>
        <w:rPr>
          <w:rFonts w:hint="eastAsia" w:eastAsia="仿宋_GB2312"/>
          <w:sz w:val="32"/>
          <w:szCs w:val="32"/>
        </w:rPr>
        <w:t>医疗器械</w:t>
      </w:r>
      <w:r>
        <w:rPr>
          <w:rFonts w:eastAsia="仿宋_GB2312"/>
          <w:sz w:val="32"/>
          <w:szCs w:val="32"/>
        </w:rPr>
        <w:t>分类目录》</w:t>
      </w:r>
      <w:r>
        <w:rPr>
          <w:rFonts w:eastAsia="仿宋_GB2312"/>
          <w:kern w:val="0"/>
          <w:sz w:val="32"/>
          <w:szCs w:val="32"/>
        </w:rPr>
        <w:t>等文件</w:t>
      </w:r>
      <w:r>
        <w:rPr>
          <w:rFonts w:eastAsia="仿宋_GB2312"/>
          <w:sz w:val="32"/>
          <w:szCs w:val="32"/>
        </w:rPr>
        <w:t>提出预分类界定意见，通过分类界定信息系统提交至</w:t>
      </w:r>
      <w:r>
        <w:rPr>
          <w:rFonts w:hint="eastAsia" w:eastAsia="仿宋_GB2312"/>
          <w:sz w:val="32"/>
          <w:szCs w:val="32"/>
        </w:rPr>
        <w:t>国家药监局医疗器械标准管理</w:t>
      </w:r>
      <w:r>
        <w:rPr>
          <w:rFonts w:eastAsia="仿宋_GB2312"/>
          <w:sz w:val="32"/>
          <w:szCs w:val="32"/>
        </w:rPr>
        <w:t>中心。</w:t>
      </w:r>
    </w:p>
    <w:p w14:paraId="5F4F4BD2">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 xml:space="preserve">第八条 </w:t>
      </w:r>
      <w:r>
        <w:rPr>
          <w:rFonts w:hint="eastAsia" w:ascii="仿宋_GB2312" w:hAnsi="仿宋_GB2312" w:eastAsia="仿宋_GB2312" w:cs="仿宋_GB2312"/>
          <w:sz w:val="32"/>
          <w:szCs w:val="32"/>
        </w:rPr>
        <w:t>专家委员会研究</w:t>
      </w:r>
    </w:p>
    <w:p w14:paraId="48BFAD5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产品分类界定难度大、技术复杂、存在异议的，以及在审评审批过程中发现的类别存疑的产品，器械注册处可组织河北省医疗器械分类界定专家委员会进行研究。专家委员会研究意见作为后续工作的参考依据。专家委员会研究所需时间不计算在本程序规定的时限内。</w:t>
      </w:r>
    </w:p>
    <w:p w14:paraId="07A35B95">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第四章 时限要求</w:t>
      </w:r>
    </w:p>
    <w:p w14:paraId="03D2A37F">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第九条</w:t>
      </w:r>
      <w:r>
        <w:rPr>
          <w:rFonts w:hint="eastAsia" w:ascii="仿宋_GB2312" w:hAnsi="仿宋_GB2312" w:eastAsia="仿宋_GB2312" w:cs="仿宋_GB2312"/>
          <w:sz w:val="32"/>
          <w:szCs w:val="32"/>
        </w:rPr>
        <w:t xml:space="preserve"> 器审中心应当在收到分类界定申请后8个工作日内完成初步研究及初审意见提交工作。</w:t>
      </w:r>
    </w:p>
    <w:p w14:paraId="71F8EC03">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第十条</w:t>
      </w:r>
      <w:r>
        <w:rPr>
          <w:rFonts w:hint="eastAsia" w:ascii="仿宋_GB2312" w:hAnsi="仿宋_GB2312" w:eastAsia="仿宋_GB2312" w:cs="仿宋_GB2312"/>
          <w:sz w:val="32"/>
          <w:szCs w:val="32"/>
        </w:rPr>
        <w:t xml:space="preserve"> 器械注册处应当在收到初审意见后6个工作日内完成告知/上报工作。</w:t>
      </w:r>
    </w:p>
    <w:p w14:paraId="15838DBE">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第十一条</w:t>
      </w:r>
      <w:r>
        <w:rPr>
          <w:rFonts w:hint="eastAsia" w:ascii="仿宋_GB2312" w:hAnsi="仿宋_GB2312" w:eastAsia="仿宋_GB2312" w:cs="仿宋_GB2312"/>
          <w:sz w:val="32"/>
          <w:szCs w:val="32"/>
        </w:rPr>
        <w:t xml:space="preserve"> 专家委员会研究、相关部门沟通协调及研提意见、申请人补充资料等环节所需时间不计算在本程序规定的时限内。</w:t>
      </w:r>
    </w:p>
    <w:p w14:paraId="3C5C26E8">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第五章 附则</w:t>
      </w:r>
    </w:p>
    <w:p w14:paraId="5866600D">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第十二条</w:t>
      </w:r>
      <w:r>
        <w:rPr>
          <w:rFonts w:hint="eastAsia" w:ascii="仿宋_GB2312" w:hAnsi="仿宋_GB2312" w:eastAsia="仿宋_GB2312" w:cs="仿宋_GB2312"/>
          <w:sz w:val="32"/>
          <w:szCs w:val="32"/>
        </w:rPr>
        <w:t xml:space="preserve"> 器械注册处及器审中心应当公布联系方式。申请人若对产品分类界定结果有异议或者疑问，可与有关部门沟通交流。若仍有异议，申请人可进一步完善资料后重新提交分类界定申请。</w:t>
      </w:r>
    </w:p>
    <w:p w14:paraId="05E24A6F">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第十三条</w:t>
      </w:r>
      <w:r>
        <w:rPr>
          <w:rFonts w:hint="eastAsia" w:ascii="仿宋_GB2312" w:hAnsi="仿宋_GB2312" w:eastAsia="仿宋_GB2312" w:cs="仿宋_GB2312"/>
          <w:sz w:val="32"/>
          <w:szCs w:val="32"/>
        </w:rPr>
        <w:t xml:space="preserve"> 对于有证据表明分类界定申请资料可能存在虚假的，器审中心或器械注册处可以中止分类界定工作；经核实后，对于不存在虚假的，继续办理；对于存在虚假的，在分类界定信息系统内终止该分类界定申请。</w:t>
      </w:r>
    </w:p>
    <w:p w14:paraId="41B26526">
      <w:pPr>
        <w:spacing w:line="54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第十四条</w:t>
      </w:r>
      <w:r>
        <w:rPr>
          <w:rFonts w:hint="eastAsia" w:ascii="仿宋_GB2312" w:hAnsi="仿宋_GB2312" w:eastAsia="仿宋_GB2312" w:cs="仿宋_GB2312"/>
          <w:sz w:val="32"/>
          <w:szCs w:val="32"/>
        </w:rPr>
        <w:t xml:space="preserve"> 分类界定结果仅作为产品注册、备案的参考依据，不代表最终行政审批结论。</w:t>
      </w:r>
    </w:p>
    <w:p w14:paraId="4269C084">
      <w:pPr>
        <w:spacing w:line="540" w:lineRule="exact"/>
        <w:ind w:firstLine="640" w:firstLineChars="200"/>
      </w:pPr>
      <w:r>
        <w:rPr>
          <w:rFonts w:hint="eastAsia" w:ascii="楷体_GB2312" w:hAnsi="仿宋_GB2312" w:eastAsia="楷体_GB2312" w:cs="仿宋_GB2312"/>
          <w:sz w:val="32"/>
          <w:szCs w:val="32"/>
        </w:rPr>
        <w:t>第十五条</w:t>
      </w:r>
      <w:r>
        <w:rPr>
          <w:rFonts w:hint="eastAsia" w:ascii="仿宋_GB2312" w:hAnsi="仿宋_GB2312" w:eastAsia="仿宋_GB2312" w:cs="仿宋_GB2312"/>
          <w:sz w:val="32"/>
          <w:szCs w:val="32"/>
        </w:rPr>
        <w:t xml:space="preserve"> 本程序由河北省药品监督管理局负责解释，自印发之日起试行。国家有新规定的，从其规定。</w:t>
      </w:r>
    </w:p>
    <w:p w14:paraId="36B8F9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8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2026-05-07T01:34:07Z</dcterms:created>
  <dc:creator>Administrator</dc:creator>
  <cp:lastModifiedBy>张永强</cp:lastModifiedBy>
  <dcterms:modified xsi:type="dcterms:W3CDTF">2026-05-07T01:34:24Z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eyJoZGlkIjoiNzdiMjZmNjFkNjNhMDdlN2U0YTczMGU3ZmFhYTkxOTAiLCJ1c2VySWQiOiIxMjA4NTE2Mzc2In0=</vt:lpwstr>
  </property>
  <property fmtid="{D5CDD505-2E9C-101B-9397-08002B2CF9AE}" pid="4" name="ICV">
    <vt:lpwstr>976A11F69D7341DEA043CBD4F6BEC9FC_12</vt:lpwstr>
  </property>
</Properties>
</file>